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1C393E6E" w:rsidR="00285DCF" w:rsidRPr="003C335A" w:rsidRDefault="00285DCF" w:rsidP="00285DCF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CF0FDE" w:rsidRPr="00CF0FDE">
        <w:rPr>
          <w:rFonts w:cs="Arial Narrow"/>
          <w:b/>
          <w:bCs/>
          <w:sz w:val="20"/>
          <w:szCs w:val="20"/>
        </w:rPr>
        <w:t>ELOG/2/006429/26</w:t>
      </w:r>
      <w:r w:rsidR="00CF0FDE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3C335A" w:rsidRPr="003C335A">
        <w:rPr>
          <w:b/>
          <w:bCs/>
          <w:sz w:val="20"/>
          <w:szCs w:val="20"/>
        </w:rPr>
        <w:t>Remont podestu ruchomego masztowego PRM w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335A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B729D"/>
    <w:rsid w:val="007D7610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0FDE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3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3C335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5</cp:revision>
  <cp:lastPrinted>2017-09-15T09:06:00Z</cp:lastPrinted>
  <dcterms:created xsi:type="dcterms:W3CDTF">2024-12-10T08:46:00Z</dcterms:created>
  <dcterms:modified xsi:type="dcterms:W3CDTF">2026-03-13T10:54:00Z</dcterms:modified>
</cp:coreProperties>
</file>